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98" w:rsidRPr="00222486" w:rsidRDefault="00222498" w:rsidP="00222498">
      <w:pPr>
        <w:rPr>
          <w:rFonts w:ascii="Verdana" w:hAnsi="Verdana"/>
          <w:lang w:val="nl-BE"/>
        </w:rPr>
      </w:pPr>
      <w:r w:rsidRPr="00222486">
        <w:rPr>
          <w:rFonts w:ascii="Verdana" w:hAnsi="Verdana"/>
          <w:noProof/>
          <w:lang w:val="nl-BE" w:eastAsia="nl-BE"/>
        </w:rPr>
        <w:drawing>
          <wp:anchor distT="0" distB="0" distL="114300" distR="114300" simplePos="0" relativeHeight="251659264" behindDoc="0" locked="0" layoutInCell="1" allowOverlap="1" wp14:anchorId="7310CB14" wp14:editId="664BA5E4">
            <wp:simplePos x="0" y="0"/>
            <wp:positionH relativeFrom="margin">
              <wp:posOffset>1523365</wp:posOffset>
            </wp:positionH>
            <wp:positionV relativeFrom="paragraph">
              <wp:posOffset>9525</wp:posOffset>
            </wp:positionV>
            <wp:extent cx="914400" cy="937260"/>
            <wp:effectExtent l="0" t="0" r="0" b="0"/>
            <wp:wrapNone/>
            <wp:docPr id="1" name="Afbeelding 1" descr="C:\Users\Inge\Documents\PR\logo K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Documents\PR\logo KS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486">
        <w:rPr>
          <w:rFonts w:ascii="Verdana" w:hAnsi="Verdana"/>
          <w:noProof/>
          <w:lang w:val="nl-BE" w:eastAsia="nl-BE"/>
        </w:rPr>
        <w:drawing>
          <wp:anchor distT="0" distB="0" distL="114300" distR="114300" simplePos="0" relativeHeight="251662336" behindDoc="0" locked="0" layoutInCell="1" allowOverlap="1" wp14:anchorId="7F27FDC2" wp14:editId="3C3EE4D4">
            <wp:simplePos x="0" y="0"/>
            <wp:positionH relativeFrom="margin">
              <wp:posOffset>4997450</wp:posOffset>
            </wp:positionH>
            <wp:positionV relativeFrom="paragraph">
              <wp:posOffset>1905</wp:posOffset>
            </wp:positionV>
            <wp:extent cx="1036320" cy="1036320"/>
            <wp:effectExtent l="0" t="0" r="0" b="0"/>
            <wp:wrapNone/>
            <wp:docPr id="4" name="Afbeelding 4" descr="Afbeeldingsresultaat voor logo provincie vlaams brabant klimaatneutr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provincie vlaams brabant klimaatneutra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486">
        <w:rPr>
          <w:rFonts w:ascii="Verdana" w:hAnsi="Verdana"/>
          <w:noProof/>
          <w:lang w:val="nl-BE" w:eastAsia="nl-BE"/>
        </w:rPr>
        <w:drawing>
          <wp:anchor distT="0" distB="0" distL="114300" distR="114300" simplePos="0" relativeHeight="251661312" behindDoc="0" locked="0" layoutInCell="1" allowOverlap="1" wp14:anchorId="53DD5B54" wp14:editId="6E0575D6">
            <wp:simplePos x="0" y="0"/>
            <wp:positionH relativeFrom="column">
              <wp:posOffset>3039745</wp:posOffset>
            </wp:positionH>
            <wp:positionV relativeFrom="paragraph">
              <wp:posOffset>10160</wp:posOffset>
            </wp:positionV>
            <wp:extent cx="1402715" cy="926085"/>
            <wp:effectExtent l="0" t="0" r="6985" b="7620"/>
            <wp:wrapNone/>
            <wp:docPr id="3" name="Afbeelding 3" descr="C:\Users\Inge\AppData\Local\Microsoft\Windows\INetCache\Content.Outlook\6ICBXM1E\mospartnerlogo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Microsoft\Windows\INetCache\Content.Outlook\6ICBXM1E\mospartnerlogoligge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9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486">
        <w:rPr>
          <w:rFonts w:ascii="Verdana" w:hAnsi="Verdana"/>
          <w:b/>
          <w:noProof/>
          <w:lang w:val="nl-BE" w:eastAsia="nl-BE"/>
        </w:rPr>
        <w:drawing>
          <wp:anchor distT="0" distB="0" distL="114300" distR="114300" simplePos="0" relativeHeight="251660288" behindDoc="0" locked="0" layoutInCell="1" allowOverlap="1" wp14:anchorId="62868827" wp14:editId="5E223248">
            <wp:simplePos x="0" y="0"/>
            <wp:positionH relativeFrom="margin">
              <wp:posOffset>-635</wp:posOffset>
            </wp:positionH>
            <wp:positionV relativeFrom="paragraph">
              <wp:posOffset>-1905</wp:posOffset>
            </wp:positionV>
            <wp:extent cx="1051560" cy="1009498"/>
            <wp:effectExtent l="0" t="0" r="0" b="635"/>
            <wp:wrapNone/>
            <wp:docPr id="2" name="Afbeelding 2" descr="C:\Users\Inge\Documents\PR\logo Energieke schol\EnergiekeScholen\donker\EnergiekeScholen_do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e\Documents\PR\logo Energieke schol\EnergiekeScholen\donker\EnergiekeScholen_donk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0094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498" w:rsidRPr="00222486" w:rsidRDefault="00222498" w:rsidP="00222498">
      <w:pPr>
        <w:rPr>
          <w:rFonts w:ascii="Verdana" w:hAnsi="Verdana"/>
          <w:lang w:val="nl-BE"/>
        </w:rPr>
      </w:pPr>
    </w:p>
    <w:p w:rsidR="00222498" w:rsidRPr="00222486" w:rsidRDefault="00222498" w:rsidP="00222498">
      <w:pPr>
        <w:rPr>
          <w:rFonts w:ascii="Verdana" w:hAnsi="Verdana"/>
          <w:lang w:val="nl-BE"/>
        </w:rPr>
      </w:pPr>
    </w:p>
    <w:p w:rsidR="00222498" w:rsidRPr="00222486" w:rsidRDefault="00222498" w:rsidP="00222498">
      <w:pPr>
        <w:rPr>
          <w:rFonts w:ascii="Verdana" w:hAnsi="Verdana"/>
          <w:lang w:val="nl-BE"/>
        </w:rPr>
      </w:pPr>
    </w:p>
    <w:p w:rsidR="00222498" w:rsidRPr="00222486" w:rsidRDefault="00222498" w:rsidP="00222498">
      <w:pPr>
        <w:rPr>
          <w:rFonts w:ascii="Verdana" w:hAnsi="Verdana"/>
          <w:lang w:val="nl-BE"/>
        </w:rPr>
      </w:pPr>
    </w:p>
    <w:p w:rsidR="00222498" w:rsidRPr="00222486" w:rsidRDefault="00222498" w:rsidP="00222498">
      <w:pPr>
        <w:rPr>
          <w:rFonts w:ascii="Verdana" w:hAnsi="Verdana" w:cstheme="minorHAnsi"/>
          <w:b/>
          <w:lang w:val="nl-BE"/>
        </w:rPr>
      </w:pPr>
      <w:r>
        <w:rPr>
          <w:rFonts w:ascii="Verdana" w:hAnsi="Verdana" w:cstheme="minorHAnsi"/>
          <w:b/>
          <w:lang w:val="nl-BE"/>
        </w:rPr>
        <w:t>Bijlage</w:t>
      </w:r>
    </w:p>
    <w:p w:rsidR="00222498" w:rsidRPr="00222486" w:rsidRDefault="00222498" w:rsidP="00222498">
      <w:pPr>
        <w:rPr>
          <w:rFonts w:ascii="Verdana" w:hAnsi="Verdana" w:cstheme="minorHAnsi"/>
          <w:b/>
          <w:lang w:val="nl-BE"/>
        </w:rPr>
      </w:pPr>
    </w:p>
    <w:p w:rsidR="00222498" w:rsidRDefault="00222498" w:rsidP="00222498">
      <w:pPr>
        <w:rPr>
          <w:rFonts w:ascii="Verdana" w:hAnsi="Verdana" w:cstheme="minorHAnsi"/>
          <w:b/>
          <w:lang w:val="nl-BE"/>
        </w:rPr>
      </w:pPr>
      <w:proofErr w:type="spellStart"/>
      <w:r w:rsidRPr="00222498">
        <w:rPr>
          <w:rFonts w:ascii="Verdana" w:hAnsi="Verdana" w:cstheme="minorHAnsi"/>
          <w:b/>
          <w:lang w:val="nl-BE"/>
        </w:rPr>
        <w:t>Potentieelscans</w:t>
      </w:r>
      <w:proofErr w:type="spellEnd"/>
    </w:p>
    <w:p w:rsidR="00222498" w:rsidRDefault="00222498" w:rsidP="00222498">
      <w:pPr>
        <w:rPr>
          <w:rFonts w:ascii="Verdana" w:hAnsi="Verdana"/>
          <w:lang w:val="nl-BE"/>
        </w:rPr>
      </w:pPr>
      <w:r>
        <w:rPr>
          <w:rFonts w:ascii="Verdana" w:hAnsi="Verdana"/>
          <w:lang w:val="nl-BE"/>
        </w:rPr>
        <w:t xml:space="preserve">Het energie-audit bureau EFIKA werd via een raamcontract aangesteld om de scholen door te lichten.  Om het besparingspotentieel in kaart te brengen, worden </w:t>
      </w:r>
      <w:proofErr w:type="spellStart"/>
      <w:r>
        <w:rPr>
          <w:rFonts w:ascii="Verdana" w:hAnsi="Verdana"/>
          <w:lang w:val="nl-BE"/>
        </w:rPr>
        <w:t>potentieelscans</w:t>
      </w:r>
      <w:proofErr w:type="spellEnd"/>
      <w:r>
        <w:rPr>
          <w:rFonts w:ascii="Verdana" w:hAnsi="Verdana"/>
          <w:lang w:val="nl-BE"/>
        </w:rPr>
        <w:t xml:space="preserve"> uitgevoerd.</w:t>
      </w:r>
    </w:p>
    <w:p w:rsidR="00222498" w:rsidRDefault="00222498" w:rsidP="00222498">
      <w:pPr>
        <w:rPr>
          <w:rFonts w:ascii="Verdana" w:hAnsi="Verdana"/>
          <w:lang w:val="nl-BE"/>
        </w:rPr>
      </w:pPr>
      <w:r>
        <w:rPr>
          <w:rFonts w:ascii="Verdana" w:hAnsi="Verdana"/>
          <w:lang w:val="nl-BE"/>
        </w:rPr>
        <w:t xml:space="preserve">Een </w:t>
      </w:r>
      <w:proofErr w:type="spellStart"/>
      <w:r>
        <w:rPr>
          <w:rFonts w:ascii="Verdana" w:hAnsi="Verdana"/>
          <w:lang w:val="nl-BE"/>
        </w:rPr>
        <w:t>potentieelscan</w:t>
      </w:r>
      <w:proofErr w:type="spellEnd"/>
      <w:r>
        <w:rPr>
          <w:rFonts w:ascii="Verdana" w:hAnsi="Verdana"/>
          <w:lang w:val="nl-BE"/>
        </w:rPr>
        <w:t xml:space="preserve"> bestaat uit twee delen: de inventarisatie van de bestaande toestand en een </w:t>
      </w:r>
      <w:proofErr w:type="spellStart"/>
      <w:r>
        <w:rPr>
          <w:rFonts w:ascii="Verdana" w:hAnsi="Verdana"/>
          <w:lang w:val="nl-BE"/>
        </w:rPr>
        <w:t>oplijsting</w:t>
      </w:r>
      <w:proofErr w:type="spellEnd"/>
      <w:r>
        <w:rPr>
          <w:rFonts w:ascii="Verdana" w:hAnsi="Verdana"/>
          <w:lang w:val="nl-BE"/>
        </w:rPr>
        <w:t xml:space="preserve"> van mogelijke besparingsmaatregelen</w:t>
      </w:r>
      <w:r>
        <w:rPr>
          <w:rFonts w:ascii="Verdana" w:hAnsi="Verdana"/>
          <w:lang w:val="nl-BE"/>
        </w:rPr>
        <w:br/>
      </w:r>
      <w:r>
        <w:rPr>
          <w:rFonts w:ascii="Verdana" w:hAnsi="Verdana"/>
          <w:lang w:val="nl-BE"/>
        </w:rPr>
        <w:br/>
        <w:t xml:space="preserve">In eerste instantie wordt alle mogelijke info omtrent de school verzameld: </w:t>
      </w:r>
      <w:r w:rsidR="00E22ADA">
        <w:rPr>
          <w:rFonts w:ascii="Verdana" w:hAnsi="Verdana"/>
          <w:lang w:val="nl-BE"/>
        </w:rPr>
        <w:t>energieverbruiken</w:t>
      </w:r>
      <w:r>
        <w:rPr>
          <w:rFonts w:ascii="Verdana" w:hAnsi="Verdana"/>
          <w:lang w:val="nl-BE"/>
        </w:rPr>
        <w:t xml:space="preserve">, plannen, isolatiewaarde, renovaties, bouwjaren. </w:t>
      </w:r>
      <w:r>
        <w:rPr>
          <w:rFonts w:ascii="Verdana" w:hAnsi="Verdana"/>
          <w:lang w:val="nl-BE"/>
        </w:rPr>
        <w:br/>
        <w:t>Tijdens de inventarisatie worden alle energie-gerelateerde installaties en relevante bouwcomponenten ter plekke geïnventariseerd en hun werkin</w:t>
      </w:r>
      <w:r w:rsidR="00E22ADA">
        <w:rPr>
          <w:rFonts w:ascii="Verdana" w:hAnsi="Verdana"/>
          <w:lang w:val="nl-BE"/>
        </w:rPr>
        <w:t xml:space="preserve">g geanalyseerd. Dit betreft </w:t>
      </w:r>
      <w:proofErr w:type="spellStart"/>
      <w:r w:rsidR="00E22ADA">
        <w:rPr>
          <w:rFonts w:ascii="Verdana" w:hAnsi="Verdana"/>
          <w:lang w:val="nl-BE"/>
        </w:rPr>
        <w:t>oa</w:t>
      </w:r>
      <w:proofErr w:type="spellEnd"/>
      <w:r w:rsidR="00E22ADA">
        <w:rPr>
          <w:rFonts w:ascii="Verdana" w:hAnsi="Verdana"/>
          <w:lang w:val="nl-BE"/>
        </w:rPr>
        <w:t>. i</w:t>
      </w:r>
      <w:r>
        <w:rPr>
          <w:rFonts w:ascii="Verdana" w:hAnsi="Verdana"/>
          <w:lang w:val="nl-BE"/>
        </w:rPr>
        <w:t>solatie van dak en muren, ramen, centrale verwarming, verwarmingsregeling, ventilatie, verlichting, sanitair warm water,…</w:t>
      </w:r>
    </w:p>
    <w:p w:rsidR="00222498" w:rsidRDefault="00222498" w:rsidP="00222498">
      <w:pPr>
        <w:rPr>
          <w:rFonts w:ascii="Verdana" w:hAnsi="Verdana"/>
          <w:lang w:val="nl-BE"/>
        </w:rPr>
      </w:pPr>
      <w:r>
        <w:rPr>
          <w:rFonts w:ascii="Verdana" w:hAnsi="Verdana"/>
          <w:lang w:val="nl-BE"/>
        </w:rPr>
        <w:t xml:space="preserve">Op basis van de inventarisatie en verzamelde info stelt EFIKA een </w:t>
      </w:r>
      <w:r w:rsidRPr="00C366DC">
        <w:rPr>
          <w:rFonts w:ascii="Verdana" w:hAnsi="Verdana"/>
          <w:b/>
          <w:lang w:val="nl-BE"/>
        </w:rPr>
        <w:t>dynamisch actieplan</w:t>
      </w:r>
      <w:r>
        <w:rPr>
          <w:rFonts w:ascii="Verdana" w:hAnsi="Verdana"/>
          <w:lang w:val="nl-BE"/>
        </w:rPr>
        <w:t xml:space="preserve"> op dat het energiebesparingspotentieel van de school in kosten en baten weergeeft. </w:t>
      </w:r>
      <w:r>
        <w:rPr>
          <w:rFonts w:ascii="Verdana" w:hAnsi="Verdana"/>
          <w:lang w:val="nl-BE"/>
        </w:rPr>
        <w:br/>
      </w:r>
      <w:bookmarkStart w:id="0" w:name="_GoBack"/>
      <w:bookmarkEnd w:id="0"/>
      <w:r>
        <w:rPr>
          <w:rFonts w:ascii="Verdana" w:hAnsi="Verdana"/>
          <w:lang w:val="nl-BE"/>
        </w:rPr>
        <w:br/>
      </w:r>
      <w:proofErr w:type="spellStart"/>
      <w:r>
        <w:rPr>
          <w:rFonts w:ascii="Verdana" w:hAnsi="Verdana"/>
          <w:lang w:val="nl-BE"/>
        </w:rPr>
        <w:t>Efika</w:t>
      </w:r>
      <w:proofErr w:type="spellEnd"/>
      <w:r>
        <w:rPr>
          <w:rFonts w:ascii="Verdana" w:hAnsi="Verdana"/>
          <w:lang w:val="nl-BE"/>
        </w:rPr>
        <w:t xml:space="preserve"> splits de  aanbevelingen </w:t>
      </w:r>
      <w:r w:rsidRPr="00B64003">
        <w:rPr>
          <w:rFonts w:ascii="Verdana" w:hAnsi="Verdana"/>
          <w:lang w:val="nl-BE"/>
        </w:rPr>
        <w:t xml:space="preserve">op </w:t>
      </w:r>
      <w:r>
        <w:rPr>
          <w:rFonts w:ascii="Verdana" w:hAnsi="Verdana"/>
          <w:lang w:val="nl-BE"/>
        </w:rPr>
        <w:t xml:space="preserve">in </w:t>
      </w:r>
      <w:r w:rsidRPr="00B64003">
        <w:rPr>
          <w:rFonts w:ascii="Verdana" w:hAnsi="Verdana"/>
          <w:lang w:val="nl-BE"/>
        </w:rPr>
        <w:t>drie niveaus</w:t>
      </w:r>
      <w:r>
        <w:rPr>
          <w:rFonts w:ascii="Verdana" w:hAnsi="Verdana"/>
          <w:lang w:val="nl-BE"/>
        </w:rPr>
        <w:t xml:space="preserve">: optimalisering, korte termijninvesteringen en lange termijn investeringen. </w:t>
      </w:r>
    </w:p>
    <w:p w:rsidR="00C366DC" w:rsidRDefault="00C366DC" w:rsidP="00222498">
      <w:pPr>
        <w:rPr>
          <w:rFonts w:ascii="Verdana" w:hAnsi="Verdana"/>
          <w:lang w:val="nl-BE"/>
        </w:rPr>
      </w:pPr>
    </w:p>
    <w:p w:rsidR="00C366DC" w:rsidRDefault="00C366DC" w:rsidP="00222498">
      <w:pPr>
        <w:rPr>
          <w:rFonts w:ascii="Verdana" w:hAnsi="Verdana"/>
          <w:b/>
          <w:lang w:val="nl-BE"/>
        </w:rPr>
      </w:pPr>
      <w:r w:rsidRPr="00222486">
        <w:rPr>
          <w:rFonts w:ascii="Verdana" w:hAnsi="Verdana"/>
          <w:noProof/>
          <w:lang w:val="nl-BE" w:eastAsia="nl-BE"/>
        </w:rPr>
        <w:lastRenderedPageBreak/>
        <w:drawing>
          <wp:inline distT="0" distB="0" distL="0" distR="0" wp14:anchorId="60EFE67F" wp14:editId="6E6A7704">
            <wp:extent cx="8715375" cy="179292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253" t="20750" r="7506" b="50623"/>
                    <a:stretch/>
                  </pic:blipFill>
                  <pic:spPr bwMode="auto">
                    <a:xfrm>
                      <a:off x="0" y="0"/>
                      <a:ext cx="8716302" cy="1793115"/>
                    </a:xfrm>
                    <a:prstGeom prst="rect">
                      <a:avLst/>
                    </a:prstGeom>
                    <a:ln>
                      <a:noFill/>
                    </a:ln>
                    <a:extLst>
                      <a:ext uri="{53640926-AAD7-44D8-BBD7-CCE9431645EC}">
                        <a14:shadowObscured xmlns:a14="http://schemas.microsoft.com/office/drawing/2010/main"/>
                      </a:ext>
                    </a:extLst>
                  </pic:spPr>
                </pic:pic>
              </a:graphicData>
            </a:graphic>
          </wp:inline>
        </w:drawing>
      </w:r>
      <w:r w:rsidR="00222498">
        <w:rPr>
          <w:rFonts w:ascii="Verdana" w:hAnsi="Verdana"/>
          <w:lang w:val="nl-BE"/>
        </w:rPr>
        <w:br/>
      </w:r>
    </w:p>
    <w:p w:rsidR="00222498" w:rsidRDefault="00222498" w:rsidP="00222498">
      <w:pPr>
        <w:rPr>
          <w:rFonts w:ascii="Verdana" w:hAnsi="Verdana"/>
          <w:lang w:val="nl-BE"/>
        </w:rPr>
      </w:pPr>
      <w:r>
        <w:rPr>
          <w:rFonts w:ascii="Verdana" w:hAnsi="Verdana"/>
          <w:b/>
          <w:lang w:val="nl-BE"/>
        </w:rPr>
        <w:t xml:space="preserve">1. </w:t>
      </w:r>
      <w:r w:rsidRPr="00A55C43">
        <w:rPr>
          <w:rFonts w:ascii="Verdana" w:hAnsi="Verdana"/>
          <w:b/>
          <w:lang w:val="nl-BE"/>
        </w:rPr>
        <w:t>Optimaliseren.</w:t>
      </w:r>
      <w:r w:rsidRPr="00B64003">
        <w:rPr>
          <w:rFonts w:ascii="Verdana" w:hAnsi="Verdana"/>
          <w:lang w:val="nl-BE"/>
        </w:rPr>
        <w:t xml:space="preserve"> </w:t>
      </w:r>
      <w:r w:rsidRPr="00B64003">
        <w:rPr>
          <w:rFonts w:ascii="Verdana" w:hAnsi="Verdana"/>
          <w:lang w:val="nl-BE"/>
        </w:rPr>
        <w:br/>
      </w:r>
      <w:r w:rsidRPr="00B64003">
        <w:rPr>
          <w:rFonts w:ascii="Verdana" w:hAnsi="Verdana"/>
          <w:lang w:val="nl-BE"/>
        </w:rPr>
        <w:br/>
        <w:t xml:space="preserve">Dit zijn maatregelen die </w:t>
      </w:r>
      <w:r>
        <w:rPr>
          <w:rFonts w:ascii="Verdana" w:hAnsi="Verdana"/>
          <w:lang w:val="nl-BE"/>
        </w:rPr>
        <w:t xml:space="preserve">weinig geld kosten en zonder verdere studie kunnen uitgevoerd worden. Bijv. </w:t>
      </w:r>
      <w:r w:rsidRPr="00B64003">
        <w:rPr>
          <w:rFonts w:ascii="Verdana" w:hAnsi="Verdana"/>
          <w:lang w:val="nl-BE"/>
        </w:rPr>
        <w:t>sensibili</w:t>
      </w:r>
      <w:r>
        <w:rPr>
          <w:rFonts w:ascii="Verdana" w:hAnsi="Verdana"/>
          <w:lang w:val="nl-BE"/>
        </w:rPr>
        <w:t xml:space="preserve">satie van leerlingen en leerkrachten, </w:t>
      </w:r>
      <w:r w:rsidRPr="00B64003">
        <w:rPr>
          <w:rFonts w:ascii="Verdana" w:hAnsi="Verdana"/>
          <w:lang w:val="nl-BE"/>
        </w:rPr>
        <w:t xml:space="preserve"> </w:t>
      </w:r>
      <w:r>
        <w:rPr>
          <w:rFonts w:ascii="Verdana" w:hAnsi="Verdana"/>
          <w:lang w:val="nl-BE"/>
        </w:rPr>
        <w:t>schakelklokjes plaatsen op apparatuur die enkel overdag gebruikt wordt, optimalisatie van HVAC- regeling (diepgaande controle en aanpas</w:t>
      </w:r>
      <w:r w:rsidR="00E22ADA">
        <w:rPr>
          <w:rFonts w:ascii="Verdana" w:hAnsi="Verdana"/>
          <w:lang w:val="nl-BE"/>
        </w:rPr>
        <w:t xml:space="preserve">sing van ingestelde parameters </w:t>
      </w:r>
      <w:r>
        <w:rPr>
          <w:rFonts w:ascii="Verdana" w:hAnsi="Verdana"/>
          <w:lang w:val="nl-BE"/>
        </w:rPr>
        <w:t xml:space="preserve">van verwarming, ventilatie en koeling)… </w:t>
      </w:r>
      <w:r>
        <w:rPr>
          <w:rFonts w:ascii="Verdana" w:hAnsi="Verdana"/>
          <w:lang w:val="nl-BE"/>
        </w:rPr>
        <w:br/>
        <w:t>De terugverdientijd van dergelijke maatregelen bedraagt in het algemeen minder dan één jaar.</w:t>
      </w:r>
      <w:r w:rsidRPr="00B64003">
        <w:rPr>
          <w:rFonts w:ascii="Verdana" w:hAnsi="Verdana"/>
          <w:lang w:val="nl-BE"/>
        </w:rPr>
        <w:br/>
      </w:r>
      <w:r w:rsidRPr="00B64003">
        <w:rPr>
          <w:rFonts w:ascii="Verdana" w:hAnsi="Verdana"/>
          <w:lang w:val="nl-BE"/>
        </w:rPr>
        <w:br/>
      </w:r>
      <w:r>
        <w:rPr>
          <w:rFonts w:ascii="Verdana" w:hAnsi="Verdana"/>
          <w:b/>
          <w:lang w:val="nl-BE"/>
        </w:rPr>
        <w:t xml:space="preserve">2. </w:t>
      </w:r>
      <w:r w:rsidRPr="00A55C43">
        <w:rPr>
          <w:rFonts w:ascii="Verdana" w:hAnsi="Verdana"/>
          <w:b/>
          <w:lang w:val="nl-BE"/>
        </w:rPr>
        <w:t>Korte termijn investeringen.</w:t>
      </w:r>
      <w:r w:rsidRPr="00B64003">
        <w:rPr>
          <w:rFonts w:ascii="Verdana" w:hAnsi="Verdana"/>
          <w:lang w:val="nl-BE"/>
        </w:rPr>
        <w:t xml:space="preserve"> </w:t>
      </w:r>
      <w:r w:rsidRPr="00B64003">
        <w:rPr>
          <w:rFonts w:ascii="Verdana" w:hAnsi="Verdana"/>
          <w:lang w:val="nl-BE"/>
        </w:rPr>
        <w:br/>
      </w:r>
      <w:r>
        <w:rPr>
          <w:rFonts w:ascii="Verdana" w:hAnsi="Verdana"/>
          <w:lang w:val="nl-BE"/>
        </w:rPr>
        <w:br/>
      </w:r>
      <w:r w:rsidRPr="00B64003">
        <w:rPr>
          <w:rFonts w:ascii="Verdana" w:hAnsi="Verdana"/>
          <w:lang w:val="nl-BE"/>
        </w:rPr>
        <w:t xml:space="preserve">Dit zijn </w:t>
      </w:r>
      <w:r>
        <w:rPr>
          <w:rFonts w:ascii="Verdana" w:hAnsi="Verdana"/>
          <w:lang w:val="nl-BE"/>
        </w:rPr>
        <w:t>besparings</w:t>
      </w:r>
      <w:r w:rsidRPr="00B64003">
        <w:rPr>
          <w:rFonts w:ascii="Verdana" w:hAnsi="Verdana"/>
          <w:lang w:val="nl-BE"/>
        </w:rPr>
        <w:t>maatregelen</w:t>
      </w:r>
      <w:r>
        <w:rPr>
          <w:rFonts w:ascii="Verdana" w:hAnsi="Verdana"/>
          <w:lang w:val="nl-BE"/>
        </w:rPr>
        <w:t xml:space="preserve"> die een (meestal beperkte) investering vergen, maar economisch interessant zijn en</w:t>
      </w:r>
      <w:r w:rsidRPr="00B64003">
        <w:rPr>
          <w:rFonts w:ascii="Verdana" w:hAnsi="Verdana"/>
          <w:lang w:val="nl-BE"/>
        </w:rPr>
        <w:t xml:space="preserve"> maatregelen die dadelijk moeten gebeuren </w:t>
      </w:r>
      <w:proofErr w:type="spellStart"/>
      <w:r w:rsidR="00E22ADA">
        <w:rPr>
          <w:rFonts w:ascii="Verdana" w:hAnsi="Verdana"/>
          <w:lang w:val="nl-BE"/>
        </w:rPr>
        <w:t>owv</w:t>
      </w:r>
      <w:proofErr w:type="spellEnd"/>
      <w:r w:rsidR="00E22ADA">
        <w:rPr>
          <w:rFonts w:ascii="Verdana" w:hAnsi="Verdana"/>
          <w:lang w:val="nl-BE"/>
        </w:rPr>
        <w:t xml:space="preserve"> hoogdringendheid (b</w:t>
      </w:r>
      <w:r>
        <w:rPr>
          <w:rFonts w:ascii="Verdana" w:hAnsi="Verdana"/>
          <w:lang w:val="nl-BE"/>
        </w:rPr>
        <w:t>v</w:t>
      </w:r>
      <w:r w:rsidR="00E22ADA">
        <w:rPr>
          <w:rFonts w:ascii="Verdana" w:hAnsi="Verdana"/>
          <w:lang w:val="nl-BE"/>
        </w:rPr>
        <w:t>.</w:t>
      </w:r>
      <w:r>
        <w:rPr>
          <w:rFonts w:ascii="Verdana" w:hAnsi="Verdana"/>
          <w:lang w:val="nl-BE"/>
        </w:rPr>
        <w:t xml:space="preserve"> defecte verwarmingsketel).  Ook maatregelen die mogelijk worden omdat andere niet energie-gerelateerde werken uitgevoerd worden, kunnen onder deze noemer terecht komen. Bijv. vervanging van een plafond is een goede aanleiding om de verlichting te vervangen. De terugverdientijd bedraagt in het algemeen tussen vier en tien jaar, al kan een tijdsspanne van tien tot twintig jaar ook. </w:t>
      </w:r>
      <w:r w:rsidRPr="00B64003">
        <w:rPr>
          <w:rFonts w:ascii="Verdana" w:hAnsi="Verdana"/>
          <w:lang w:val="nl-BE"/>
        </w:rPr>
        <w:br/>
      </w:r>
      <w:r>
        <w:rPr>
          <w:rFonts w:ascii="Verdana" w:hAnsi="Verdana"/>
          <w:lang w:val="nl-BE"/>
        </w:rPr>
        <w:t>Typische maatregelen die hier onder vallen zijn: thermos</w:t>
      </w:r>
      <w:r w:rsidR="00E22ADA">
        <w:rPr>
          <w:rFonts w:ascii="Verdana" w:hAnsi="Verdana"/>
          <w:lang w:val="nl-BE"/>
        </w:rPr>
        <w:t>t</w:t>
      </w:r>
      <w:r>
        <w:rPr>
          <w:rFonts w:ascii="Verdana" w:hAnsi="Verdana"/>
          <w:lang w:val="nl-BE"/>
        </w:rPr>
        <w:t xml:space="preserve">atische kranen plaatsen, leidingisolatie, muurisolatie, PV-installatie, vervanging van zeer oude HVAC-installaties. </w:t>
      </w:r>
      <w:r w:rsidRPr="00B64003">
        <w:rPr>
          <w:rFonts w:ascii="Verdana" w:hAnsi="Verdana"/>
          <w:lang w:val="nl-BE"/>
        </w:rPr>
        <w:br/>
      </w:r>
      <w:r>
        <w:rPr>
          <w:rFonts w:ascii="Verdana" w:hAnsi="Verdana"/>
          <w:b/>
          <w:lang w:val="nl-BE"/>
        </w:rPr>
        <w:br/>
        <w:t xml:space="preserve">3. </w:t>
      </w:r>
      <w:r w:rsidRPr="00A55C43">
        <w:rPr>
          <w:rFonts w:ascii="Verdana" w:hAnsi="Verdana"/>
          <w:b/>
          <w:lang w:val="nl-BE"/>
        </w:rPr>
        <w:t>Lange termijn investeringen.</w:t>
      </w:r>
      <w:r w:rsidRPr="00B64003">
        <w:rPr>
          <w:rFonts w:ascii="Verdana" w:hAnsi="Verdana"/>
          <w:lang w:val="nl-BE"/>
        </w:rPr>
        <w:br/>
      </w:r>
      <w:r w:rsidRPr="00B64003">
        <w:rPr>
          <w:rFonts w:ascii="Verdana" w:hAnsi="Verdana"/>
          <w:lang w:val="nl-BE"/>
        </w:rPr>
        <w:lastRenderedPageBreak/>
        <w:br/>
        <w:t>Dit zijn investeringen die gepaard gaan met grote</w:t>
      </w:r>
      <w:r>
        <w:rPr>
          <w:rFonts w:ascii="Verdana" w:hAnsi="Verdana"/>
          <w:lang w:val="nl-BE"/>
        </w:rPr>
        <w:t>re</w:t>
      </w:r>
      <w:r w:rsidRPr="00B64003">
        <w:rPr>
          <w:rFonts w:ascii="Verdana" w:hAnsi="Verdana"/>
          <w:lang w:val="nl-BE"/>
        </w:rPr>
        <w:t xml:space="preserve"> budgetten</w:t>
      </w:r>
      <w:r>
        <w:rPr>
          <w:rFonts w:ascii="Verdana" w:hAnsi="Verdana"/>
          <w:lang w:val="nl-BE"/>
        </w:rPr>
        <w:t>, eventueel een bijkomende studie of onderzoek van de huidige situatie vergen en waarvan de terugve</w:t>
      </w:r>
      <w:r w:rsidR="00E22ADA">
        <w:rPr>
          <w:rFonts w:ascii="Verdana" w:hAnsi="Verdana"/>
          <w:lang w:val="nl-BE"/>
        </w:rPr>
        <w:t>rdientijd meestal langer is, b</w:t>
      </w:r>
      <w:r>
        <w:rPr>
          <w:rFonts w:ascii="Verdana" w:hAnsi="Verdana"/>
          <w:lang w:val="nl-BE"/>
        </w:rPr>
        <w:t>v</w:t>
      </w:r>
      <w:r w:rsidR="00E22ADA">
        <w:rPr>
          <w:rFonts w:ascii="Verdana" w:hAnsi="Verdana"/>
          <w:lang w:val="nl-BE"/>
        </w:rPr>
        <w:t>.</w:t>
      </w:r>
      <w:r>
        <w:rPr>
          <w:rFonts w:ascii="Verdana" w:hAnsi="Verdana"/>
          <w:lang w:val="nl-BE"/>
        </w:rPr>
        <w:t xml:space="preserve"> &gt; 20 jaar. Ook besparingsmaatregelen die uitgesteld moeten worden omwille van een andere maatregel die eerst uitgev</w:t>
      </w:r>
      <w:r w:rsidR="00E22ADA">
        <w:rPr>
          <w:rFonts w:ascii="Verdana" w:hAnsi="Verdana"/>
          <w:lang w:val="nl-BE"/>
        </w:rPr>
        <w:t>oerd moet worden, kan onder de l</w:t>
      </w:r>
      <w:r>
        <w:rPr>
          <w:rFonts w:ascii="Verdana" w:hAnsi="Verdana"/>
          <w:lang w:val="nl-BE"/>
        </w:rPr>
        <w:t xml:space="preserve">ange termijn terecht komen. </w:t>
      </w:r>
    </w:p>
    <w:p w:rsidR="00222498" w:rsidRDefault="00222498" w:rsidP="00222498">
      <w:pPr>
        <w:rPr>
          <w:rFonts w:ascii="Verdana" w:hAnsi="Verdana"/>
          <w:lang w:val="nl-BE"/>
        </w:rPr>
      </w:pPr>
      <w:r>
        <w:rPr>
          <w:rFonts w:ascii="Verdana" w:hAnsi="Verdana"/>
          <w:lang w:val="nl-BE"/>
        </w:rPr>
        <w:t>Deze maatregelen d</w:t>
      </w:r>
      <w:r w:rsidR="00F14E6D">
        <w:rPr>
          <w:rFonts w:ascii="Verdana" w:hAnsi="Verdana"/>
          <w:lang w:val="nl-BE"/>
        </w:rPr>
        <w:t xml:space="preserve">ienen in de </w:t>
      </w:r>
      <w:proofErr w:type="spellStart"/>
      <w:r w:rsidR="00F14E6D">
        <w:rPr>
          <w:rFonts w:ascii="Verdana" w:hAnsi="Verdana"/>
          <w:lang w:val="nl-BE"/>
        </w:rPr>
        <w:t>meerjaren</w:t>
      </w:r>
      <w:proofErr w:type="spellEnd"/>
      <w:r w:rsidR="00F14E6D">
        <w:rPr>
          <w:rFonts w:ascii="Verdana" w:hAnsi="Verdana"/>
          <w:lang w:val="nl-BE"/>
        </w:rPr>
        <w:t xml:space="preserve"> </w:t>
      </w:r>
      <w:r>
        <w:rPr>
          <w:rFonts w:ascii="Verdana" w:hAnsi="Verdana"/>
          <w:lang w:val="nl-BE"/>
        </w:rPr>
        <w:t xml:space="preserve">budgetplanning opgenomen te worden.  </w:t>
      </w:r>
    </w:p>
    <w:p w:rsidR="00222498" w:rsidRPr="00222486" w:rsidRDefault="00100709" w:rsidP="00222498">
      <w:pPr>
        <w:rPr>
          <w:rFonts w:ascii="Verdana" w:hAnsi="Verdana"/>
          <w:lang w:val="nl-BE"/>
        </w:rPr>
      </w:pPr>
      <w:r w:rsidRPr="00222486">
        <w:rPr>
          <w:rFonts w:ascii="Verdana" w:hAnsi="Verdana"/>
          <w:noProof/>
          <w:lang w:val="nl-BE" w:eastAsia="nl-BE"/>
        </w:rPr>
        <w:drawing>
          <wp:inline distT="0" distB="0" distL="0" distR="0" wp14:anchorId="0564CF57" wp14:editId="0772EBE4">
            <wp:extent cx="8810625" cy="332058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672" t="20412" r="1584" b="23479"/>
                    <a:stretch/>
                  </pic:blipFill>
                  <pic:spPr bwMode="auto">
                    <a:xfrm>
                      <a:off x="0" y="0"/>
                      <a:ext cx="8885304" cy="3348729"/>
                    </a:xfrm>
                    <a:prstGeom prst="rect">
                      <a:avLst/>
                    </a:prstGeom>
                    <a:ln>
                      <a:noFill/>
                    </a:ln>
                    <a:extLst>
                      <a:ext uri="{53640926-AAD7-44D8-BBD7-CCE9431645EC}">
                        <a14:shadowObscured xmlns:a14="http://schemas.microsoft.com/office/drawing/2010/main"/>
                      </a:ext>
                    </a:extLst>
                  </pic:spPr>
                </pic:pic>
              </a:graphicData>
            </a:graphic>
          </wp:inline>
        </w:drawing>
      </w:r>
      <w:r w:rsidR="00222498">
        <w:rPr>
          <w:rFonts w:ascii="Verdana" w:hAnsi="Verdana"/>
          <w:lang w:val="nl-BE"/>
        </w:rPr>
        <w:br/>
      </w:r>
    </w:p>
    <w:p w:rsidR="00AC4BA5" w:rsidRPr="00AC4BA5" w:rsidRDefault="00AC4BA5" w:rsidP="00AC4BA5">
      <w:pPr>
        <w:pStyle w:val="Lijstalinea"/>
        <w:numPr>
          <w:ilvl w:val="0"/>
          <w:numId w:val="2"/>
        </w:numPr>
        <w:rPr>
          <w:rFonts w:ascii="Verdana" w:hAnsi="Verdana"/>
          <w:b/>
          <w:lang w:val="nl-BE"/>
        </w:rPr>
      </w:pPr>
      <w:r w:rsidRPr="00AC4BA5">
        <w:rPr>
          <w:rFonts w:ascii="Verdana" w:hAnsi="Verdana"/>
          <w:b/>
          <w:lang w:val="nl-BE"/>
        </w:rPr>
        <w:t>Stand van zaken</w:t>
      </w:r>
    </w:p>
    <w:p w:rsidR="00AC4BA5" w:rsidRPr="00222486" w:rsidRDefault="00AC4BA5" w:rsidP="00AC4BA5">
      <w:pPr>
        <w:rPr>
          <w:rFonts w:ascii="Verdana" w:hAnsi="Verdana"/>
          <w:lang w:val="nl-BE"/>
        </w:rPr>
      </w:pPr>
      <w:r>
        <w:rPr>
          <w:rFonts w:ascii="Verdana" w:hAnsi="Verdana"/>
          <w:lang w:val="nl-BE"/>
        </w:rPr>
        <w:t>De 6 scho</w:t>
      </w:r>
      <w:r w:rsidRPr="00222486">
        <w:rPr>
          <w:rFonts w:ascii="Verdana" w:hAnsi="Verdana"/>
          <w:lang w:val="nl-BE"/>
        </w:rPr>
        <w:t>l</w:t>
      </w:r>
      <w:r>
        <w:rPr>
          <w:rFonts w:ascii="Verdana" w:hAnsi="Verdana"/>
          <w:lang w:val="nl-BE"/>
        </w:rPr>
        <w:t>en hebben</w:t>
      </w:r>
      <w:r w:rsidRPr="00222486">
        <w:rPr>
          <w:rFonts w:ascii="Verdana" w:hAnsi="Verdana"/>
          <w:lang w:val="nl-BE"/>
        </w:rPr>
        <w:t xml:space="preserve"> </w:t>
      </w:r>
      <w:r>
        <w:rPr>
          <w:rFonts w:ascii="Verdana" w:hAnsi="Verdana"/>
          <w:lang w:val="nl-BE"/>
        </w:rPr>
        <w:t>hun</w:t>
      </w:r>
      <w:r w:rsidRPr="00222486">
        <w:rPr>
          <w:rFonts w:ascii="Verdana" w:hAnsi="Verdana"/>
          <w:lang w:val="nl-BE"/>
        </w:rPr>
        <w:t xml:space="preserve"> energieverbruik in kaart gebracht</w:t>
      </w:r>
      <w:r>
        <w:rPr>
          <w:rFonts w:ascii="Verdana" w:hAnsi="Verdana"/>
          <w:lang w:val="nl-BE"/>
        </w:rPr>
        <w:t xml:space="preserve"> en werden doorgelicht door </w:t>
      </w:r>
      <w:proofErr w:type="spellStart"/>
      <w:r>
        <w:rPr>
          <w:rFonts w:ascii="Verdana" w:hAnsi="Verdana"/>
          <w:lang w:val="nl-BE"/>
        </w:rPr>
        <w:t>Efika</w:t>
      </w:r>
      <w:proofErr w:type="spellEnd"/>
      <w:r>
        <w:rPr>
          <w:rFonts w:ascii="Verdana" w:hAnsi="Verdana"/>
          <w:lang w:val="nl-BE"/>
        </w:rPr>
        <w:t xml:space="preserve"> Engineering</w:t>
      </w:r>
      <w:r w:rsidRPr="00222486">
        <w:rPr>
          <w:rFonts w:ascii="Verdana" w:hAnsi="Verdana"/>
          <w:lang w:val="nl-BE"/>
        </w:rPr>
        <w:t xml:space="preserve">. Op basis van deze gegevens kunnen we met kleine ingrepen </w:t>
      </w:r>
      <w:r>
        <w:rPr>
          <w:rFonts w:ascii="Verdana" w:hAnsi="Verdana"/>
          <w:lang w:val="nl-BE"/>
        </w:rPr>
        <w:t xml:space="preserve">starten om </w:t>
      </w:r>
      <w:r w:rsidRPr="00222486">
        <w:rPr>
          <w:rFonts w:ascii="Verdana" w:hAnsi="Verdana"/>
          <w:lang w:val="nl-BE"/>
        </w:rPr>
        <w:t>op korte termijn resultaten</w:t>
      </w:r>
      <w:r>
        <w:rPr>
          <w:rFonts w:ascii="Verdana" w:hAnsi="Verdana"/>
          <w:lang w:val="nl-BE"/>
        </w:rPr>
        <w:t xml:space="preserve"> te</w:t>
      </w:r>
      <w:r w:rsidRPr="00222486">
        <w:rPr>
          <w:rFonts w:ascii="Verdana" w:hAnsi="Verdana"/>
          <w:lang w:val="nl-BE"/>
        </w:rPr>
        <w:t xml:space="preserve"> boeken.</w:t>
      </w:r>
      <w:r w:rsidRPr="00222486">
        <w:rPr>
          <w:rFonts w:ascii="Verdana" w:hAnsi="Verdana"/>
          <w:lang w:val="nl-BE"/>
        </w:rPr>
        <w:tab/>
        <w:t xml:space="preserve">  </w:t>
      </w:r>
    </w:p>
    <w:p w:rsidR="00AC4BA5" w:rsidRPr="00222486" w:rsidRDefault="00AC4BA5" w:rsidP="00AC4BA5">
      <w:pPr>
        <w:rPr>
          <w:rFonts w:ascii="Verdana" w:hAnsi="Verdana"/>
          <w:lang w:val="nl-BE"/>
        </w:rPr>
      </w:pPr>
      <w:r w:rsidRPr="00222486">
        <w:rPr>
          <w:rFonts w:ascii="Verdana" w:hAnsi="Verdana"/>
          <w:lang w:val="nl-BE"/>
        </w:rPr>
        <w:lastRenderedPageBreak/>
        <w:t>De</w:t>
      </w:r>
      <w:r>
        <w:rPr>
          <w:rFonts w:ascii="Verdana" w:hAnsi="Verdana"/>
          <w:lang w:val="nl-BE"/>
        </w:rPr>
        <w:t>ze</w:t>
      </w:r>
      <w:r w:rsidRPr="00222486">
        <w:rPr>
          <w:rFonts w:ascii="Verdana" w:hAnsi="Verdana"/>
          <w:lang w:val="nl-BE"/>
        </w:rPr>
        <w:t xml:space="preserve"> monitoring dient tevens als inspiratiebron voor het educatieve luik.  Ook worden onze scholen zich sterker bewust van hun energieverbruik.</w:t>
      </w:r>
    </w:p>
    <w:p w:rsidR="00AC4BA5" w:rsidRDefault="00AC4BA5" w:rsidP="00AC4BA5">
      <w:pPr>
        <w:rPr>
          <w:rFonts w:ascii="Verdana" w:hAnsi="Verdana"/>
          <w:lang w:val="nl-BE"/>
        </w:rPr>
      </w:pPr>
    </w:p>
    <w:p w:rsidR="00AC4BA5" w:rsidRPr="00AC4BA5" w:rsidRDefault="00AC4BA5" w:rsidP="00AC4BA5">
      <w:pPr>
        <w:pStyle w:val="Lijstalinea"/>
        <w:numPr>
          <w:ilvl w:val="0"/>
          <w:numId w:val="2"/>
        </w:numPr>
        <w:rPr>
          <w:rFonts w:ascii="Verdana" w:hAnsi="Verdana"/>
          <w:b/>
          <w:lang w:val="nl-BE"/>
        </w:rPr>
      </w:pPr>
      <w:r w:rsidRPr="00AC4BA5">
        <w:rPr>
          <w:rFonts w:ascii="Verdana" w:hAnsi="Verdana"/>
          <w:b/>
          <w:lang w:val="nl-BE"/>
        </w:rPr>
        <w:t>Resultaten</w:t>
      </w:r>
    </w:p>
    <w:p w:rsidR="00AC4BA5" w:rsidRPr="00222486" w:rsidRDefault="00AC4BA5" w:rsidP="00AC4BA5">
      <w:pPr>
        <w:rPr>
          <w:rFonts w:ascii="Verdana" w:hAnsi="Verdana"/>
          <w:lang w:val="nl-BE"/>
        </w:rPr>
      </w:pPr>
      <w:r w:rsidRPr="00222486">
        <w:rPr>
          <w:rFonts w:ascii="Verdana" w:hAnsi="Verdana"/>
          <w:lang w:val="nl-BE"/>
        </w:rPr>
        <w:t xml:space="preserve">Op basis van de </w:t>
      </w:r>
      <w:proofErr w:type="spellStart"/>
      <w:r w:rsidRPr="00222486">
        <w:rPr>
          <w:rFonts w:ascii="Verdana" w:hAnsi="Verdana"/>
          <w:lang w:val="nl-BE"/>
        </w:rPr>
        <w:t>potentieelscans</w:t>
      </w:r>
      <w:proofErr w:type="spellEnd"/>
      <w:r w:rsidRPr="00222486">
        <w:rPr>
          <w:rFonts w:ascii="Verdana" w:hAnsi="Verdana"/>
          <w:lang w:val="nl-BE"/>
        </w:rPr>
        <w:t xml:space="preserve"> stelt EFIKA </w:t>
      </w:r>
      <w:r>
        <w:rPr>
          <w:rFonts w:ascii="Verdana" w:hAnsi="Verdana"/>
          <w:lang w:val="nl-BE"/>
        </w:rPr>
        <w:t xml:space="preserve">Engineering </w:t>
      </w:r>
      <w:r w:rsidRPr="00222486">
        <w:rPr>
          <w:rFonts w:ascii="Verdana" w:hAnsi="Verdana"/>
          <w:lang w:val="nl-BE"/>
        </w:rPr>
        <w:t xml:space="preserve">een rapport op dat de bestaande toestand beschrijft en mogelijke ingrepen voorstelt. </w:t>
      </w:r>
    </w:p>
    <w:p w:rsidR="00AC4BA5" w:rsidRDefault="00AC4BA5" w:rsidP="00AC4BA5">
      <w:pPr>
        <w:rPr>
          <w:rFonts w:ascii="Verdana" w:hAnsi="Verdana"/>
          <w:lang w:val="nl-BE"/>
        </w:rPr>
      </w:pPr>
      <w:r>
        <w:rPr>
          <w:rFonts w:ascii="Verdana" w:hAnsi="Verdana"/>
          <w:lang w:val="nl-BE"/>
        </w:rPr>
        <w:t xml:space="preserve">Hieronder zijn de resultaten na samenvoeging van de gegevens van 5 van de deelnemende scholen.  </w:t>
      </w:r>
    </w:p>
    <w:p w:rsidR="00AC4BA5" w:rsidRDefault="00AC4BA5" w:rsidP="00AC4BA5">
      <w:pPr>
        <w:rPr>
          <w:rFonts w:ascii="Verdana" w:hAnsi="Verdana"/>
          <w:lang w:val="nl-BE"/>
        </w:rPr>
      </w:pPr>
      <w:r>
        <w:rPr>
          <w:rFonts w:ascii="Verdana" w:hAnsi="Verdana"/>
          <w:lang w:val="nl-BE"/>
        </w:rPr>
        <w:t>Deze cijfers zijn bedoeld om de grootte van dit project aan te tonen en overtreffen het initiële streefcijfer.</w:t>
      </w:r>
    </w:p>
    <w:p w:rsidR="00AC4BA5" w:rsidRDefault="00AC4BA5" w:rsidP="00AC4BA5">
      <w:pPr>
        <w:rPr>
          <w:rFonts w:ascii="Verdana" w:hAnsi="Verdana"/>
          <w:lang w:val="nl-BE"/>
        </w:rPr>
      </w:pPr>
    </w:p>
    <w:tbl>
      <w:tblPr>
        <w:tblStyle w:val="Tabelraster"/>
        <w:tblW w:w="0" w:type="auto"/>
        <w:tblInd w:w="-5" w:type="dxa"/>
        <w:tblLook w:val="04A0" w:firstRow="1" w:lastRow="0" w:firstColumn="1" w:lastColumn="0" w:noHBand="0" w:noVBand="1"/>
      </w:tblPr>
      <w:tblGrid>
        <w:gridCol w:w="1673"/>
        <w:gridCol w:w="2693"/>
        <w:gridCol w:w="992"/>
        <w:gridCol w:w="1276"/>
        <w:gridCol w:w="425"/>
        <w:gridCol w:w="2126"/>
        <w:gridCol w:w="3402"/>
      </w:tblGrid>
      <w:tr w:rsidR="00AC4BA5" w:rsidRPr="000129A0" w:rsidTr="000129A0">
        <w:tc>
          <w:tcPr>
            <w:tcW w:w="1673" w:type="dxa"/>
          </w:tcPr>
          <w:p w:rsidR="00AC4BA5" w:rsidRDefault="00AC4BA5" w:rsidP="00AC4BA5">
            <w:pPr>
              <w:rPr>
                <w:rFonts w:ascii="Verdana" w:hAnsi="Verdana"/>
                <w:lang w:val="nl-BE"/>
              </w:rPr>
            </w:pPr>
          </w:p>
        </w:tc>
        <w:tc>
          <w:tcPr>
            <w:tcW w:w="2693" w:type="dxa"/>
          </w:tcPr>
          <w:p w:rsidR="00AC4BA5" w:rsidRDefault="00AC4BA5" w:rsidP="00AC4BA5">
            <w:pPr>
              <w:rPr>
                <w:rFonts w:ascii="Verdana" w:hAnsi="Verdana"/>
                <w:lang w:val="nl-BE"/>
              </w:rPr>
            </w:pPr>
            <w:r>
              <w:rPr>
                <w:rFonts w:ascii="Verdana" w:hAnsi="Verdana"/>
                <w:lang w:val="nl-BE"/>
              </w:rPr>
              <w:t xml:space="preserve">Verbruik </w:t>
            </w:r>
            <w:proofErr w:type="spellStart"/>
            <w:r>
              <w:rPr>
                <w:rFonts w:ascii="Verdana" w:hAnsi="Verdana"/>
                <w:lang w:val="nl-BE"/>
              </w:rPr>
              <w:t>elek</w:t>
            </w:r>
            <w:proofErr w:type="spellEnd"/>
          </w:p>
          <w:p w:rsidR="00AC4BA5" w:rsidRDefault="00AC4BA5" w:rsidP="00AC4BA5">
            <w:pPr>
              <w:rPr>
                <w:rFonts w:ascii="Verdana" w:hAnsi="Verdana"/>
                <w:lang w:val="nl-BE"/>
              </w:rPr>
            </w:pPr>
            <w:r>
              <w:rPr>
                <w:rFonts w:ascii="Verdana" w:hAnsi="Verdana"/>
                <w:lang w:val="nl-BE"/>
              </w:rPr>
              <w:t>(kWh)</w:t>
            </w:r>
          </w:p>
        </w:tc>
        <w:tc>
          <w:tcPr>
            <w:tcW w:w="4819" w:type="dxa"/>
            <w:gridSpan w:val="4"/>
          </w:tcPr>
          <w:p w:rsidR="00AC4BA5" w:rsidRDefault="00AC4BA5" w:rsidP="00AC4BA5">
            <w:pPr>
              <w:rPr>
                <w:rFonts w:ascii="Verdana" w:hAnsi="Verdana"/>
                <w:lang w:val="nl-BE"/>
              </w:rPr>
            </w:pPr>
            <w:r>
              <w:rPr>
                <w:rFonts w:ascii="Verdana" w:hAnsi="Verdana"/>
                <w:lang w:val="nl-BE"/>
              </w:rPr>
              <w:t xml:space="preserve">Gecorrigeerd verbruik brandstof </w:t>
            </w:r>
            <w:r w:rsidR="000129A0">
              <w:rPr>
                <w:rFonts w:ascii="Verdana" w:hAnsi="Verdana"/>
                <w:lang w:val="nl-BE"/>
              </w:rPr>
              <w:br/>
            </w:r>
            <w:r>
              <w:rPr>
                <w:rFonts w:ascii="Verdana" w:hAnsi="Verdana"/>
                <w:lang w:val="nl-BE"/>
              </w:rPr>
              <w:t>(kWh)</w:t>
            </w:r>
          </w:p>
        </w:tc>
        <w:tc>
          <w:tcPr>
            <w:tcW w:w="3402" w:type="dxa"/>
          </w:tcPr>
          <w:p w:rsidR="00AC4BA5" w:rsidRDefault="00AC4BA5" w:rsidP="00AC4BA5">
            <w:pPr>
              <w:rPr>
                <w:rFonts w:ascii="Verdana" w:hAnsi="Verdana"/>
                <w:lang w:val="nl-BE"/>
              </w:rPr>
            </w:pPr>
            <w:r>
              <w:rPr>
                <w:rFonts w:ascii="Verdana" w:hAnsi="Verdana"/>
                <w:lang w:val="nl-BE"/>
              </w:rPr>
              <w:t>Energiekost</w:t>
            </w:r>
          </w:p>
          <w:p w:rsidR="00AC4BA5" w:rsidRDefault="00AC4BA5" w:rsidP="00AC4BA5">
            <w:pPr>
              <w:rPr>
                <w:rFonts w:ascii="Verdana" w:hAnsi="Verdana"/>
                <w:lang w:val="nl-BE"/>
              </w:rPr>
            </w:pPr>
            <w:r>
              <w:rPr>
                <w:rFonts w:ascii="Verdana" w:hAnsi="Verdana"/>
                <w:lang w:val="nl-BE"/>
              </w:rPr>
              <w:t>(EUR)</w:t>
            </w:r>
          </w:p>
        </w:tc>
      </w:tr>
      <w:tr w:rsidR="00AC4BA5" w:rsidRPr="000129A0" w:rsidTr="000129A0">
        <w:tc>
          <w:tcPr>
            <w:tcW w:w="1673" w:type="dxa"/>
          </w:tcPr>
          <w:p w:rsidR="00AC4BA5" w:rsidRDefault="00AC4BA5" w:rsidP="00AC4BA5">
            <w:pPr>
              <w:rPr>
                <w:rFonts w:ascii="Verdana" w:hAnsi="Verdana"/>
                <w:lang w:val="nl-BE"/>
              </w:rPr>
            </w:pPr>
            <w:proofErr w:type="spellStart"/>
            <w:r>
              <w:rPr>
                <w:rFonts w:ascii="Verdana" w:hAnsi="Verdana"/>
                <w:lang w:val="nl-BE"/>
              </w:rPr>
              <w:t>KSLeuven</w:t>
            </w:r>
            <w:proofErr w:type="spellEnd"/>
          </w:p>
        </w:tc>
        <w:tc>
          <w:tcPr>
            <w:tcW w:w="2693" w:type="dxa"/>
          </w:tcPr>
          <w:p w:rsidR="00AC4BA5" w:rsidRDefault="00AC4BA5" w:rsidP="00AC4BA5">
            <w:pPr>
              <w:rPr>
                <w:rFonts w:ascii="Verdana" w:hAnsi="Verdana"/>
                <w:lang w:val="nl-BE"/>
              </w:rPr>
            </w:pPr>
            <w:r>
              <w:rPr>
                <w:rFonts w:ascii="Verdana" w:hAnsi="Verdana"/>
                <w:lang w:val="nl-BE"/>
              </w:rPr>
              <w:t>1.477.842</w:t>
            </w:r>
          </w:p>
        </w:tc>
        <w:tc>
          <w:tcPr>
            <w:tcW w:w="4819" w:type="dxa"/>
            <w:gridSpan w:val="4"/>
          </w:tcPr>
          <w:p w:rsidR="00AC4BA5" w:rsidRDefault="00AC4BA5" w:rsidP="00AC4BA5">
            <w:pPr>
              <w:rPr>
                <w:rFonts w:ascii="Verdana" w:hAnsi="Verdana"/>
                <w:lang w:val="nl-BE"/>
              </w:rPr>
            </w:pPr>
            <w:r>
              <w:rPr>
                <w:rFonts w:ascii="Verdana" w:hAnsi="Verdana"/>
                <w:lang w:val="nl-BE"/>
              </w:rPr>
              <w:t>5.797.731</w:t>
            </w:r>
          </w:p>
        </w:tc>
        <w:tc>
          <w:tcPr>
            <w:tcW w:w="3402" w:type="dxa"/>
          </w:tcPr>
          <w:p w:rsidR="00AC4BA5" w:rsidRDefault="00AC4BA5" w:rsidP="00AC4BA5">
            <w:pPr>
              <w:rPr>
                <w:rFonts w:ascii="Verdana" w:hAnsi="Verdana"/>
                <w:lang w:val="nl-BE"/>
              </w:rPr>
            </w:pPr>
            <w:r>
              <w:rPr>
                <w:rFonts w:ascii="Verdana" w:hAnsi="Verdana"/>
                <w:lang w:val="nl-BE"/>
              </w:rPr>
              <w:t>393.018</w:t>
            </w:r>
          </w:p>
        </w:tc>
      </w:tr>
      <w:tr w:rsidR="00AC4BA5" w:rsidRPr="000129A0" w:rsidTr="000129A0">
        <w:tc>
          <w:tcPr>
            <w:tcW w:w="1673" w:type="dxa"/>
          </w:tcPr>
          <w:p w:rsidR="00AC4BA5" w:rsidRDefault="00AC4BA5" w:rsidP="00AC4BA5">
            <w:pPr>
              <w:rPr>
                <w:rFonts w:ascii="Verdana" w:hAnsi="Verdana"/>
                <w:lang w:val="nl-BE"/>
              </w:rPr>
            </w:pPr>
          </w:p>
        </w:tc>
        <w:tc>
          <w:tcPr>
            <w:tcW w:w="2693" w:type="dxa"/>
          </w:tcPr>
          <w:p w:rsidR="00AC4BA5" w:rsidRDefault="00AC4BA5" w:rsidP="00AC4BA5">
            <w:pPr>
              <w:rPr>
                <w:rFonts w:ascii="Verdana" w:hAnsi="Verdana"/>
                <w:lang w:val="nl-BE"/>
              </w:rPr>
            </w:pPr>
            <w:r>
              <w:rPr>
                <w:rFonts w:ascii="Verdana" w:hAnsi="Verdana"/>
                <w:lang w:val="nl-BE"/>
              </w:rPr>
              <w:t xml:space="preserve">Besparing </w:t>
            </w:r>
            <w:proofErr w:type="spellStart"/>
            <w:r>
              <w:rPr>
                <w:rFonts w:ascii="Verdana" w:hAnsi="Verdana"/>
                <w:lang w:val="nl-BE"/>
              </w:rPr>
              <w:t>elek</w:t>
            </w:r>
            <w:proofErr w:type="spellEnd"/>
            <w:r>
              <w:rPr>
                <w:rFonts w:ascii="Verdana" w:hAnsi="Verdana"/>
                <w:lang w:val="nl-BE"/>
              </w:rPr>
              <w:t xml:space="preserve"> </w:t>
            </w:r>
            <w:r w:rsidR="000129A0">
              <w:rPr>
                <w:rFonts w:ascii="Verdana" w:hAnsi="Verdana"/>
                <w:lang w:val="nl-BE"/>
              </w:rPr>
              <w:br/>
            </w:r>
            <w:r>
              <w:rPr>
                <w:rFonts w:ascii="Verdana" w:hAnsi="Verdana"/>
                <w:lang w:val="nl-BE"/>
              </w:rPr>
              <w:t>(kWh)</w:t>
            </w:r>
          </w:p>
        </w:tc>
        <w:tc>
          <w:tcPr>
            <w:tcW w:w="2268" w:type="dxa"/>
            <w:gridSpan w:val="2"/>
          </w:tcPr>
          <w:p w:rsidR="00AC4BA5" w:rsidRDefault="00AC4BA5" w:rsidP="00AC4BA5">
            <w:pPr>
              <w:rPr>
                <w:rFonts w:ascii="Verdana" w:hAnsi="Verdana"/>
                <w:lang w:val="nl-BE"/>
              </w:rPr>
            </w:pPr>
            <w:r>
              <w:rPr>
                <w:rFonts w:ascii="Verdana" w:hAnsi="Verdana"/>
                <w:lang w:val="nl-BE"/>
              </w:rPr>
              <w:t xml:space="preserve">Besparing </w:t>
            </w:r>
            <w:proofErr w:type="spellStart"/>
            <w:r>
              <w:rPr>
                <w:rFonts w:ascii="Verdana" w:hAnsi="Verdana"/>
                <w:lang w:val="nl-BE"/>
              </w:rPr>
              <w:t>elek</w:t>
            </w:r>
            <w:proofErr w:type="spellEnd"/>
            <w:r>
              <w:rPr>
                <w:rFonts w:ascii="Verdana" w:hAnsi="Verdana"/>
                <w:lang w:val="nl-BE"/>
              </w:rPr>
              <w:t xml:space="preserve"> (%)</w:t>
            </w:r>
          </w:p>
        </w:tc>
        <w:tc>
          <w:tcPr>
            <w:tcW w:w="2551" w:type="dxa"/>
            <w:gridSpan w:val="2"/>
          </w:tcPr>
          <w:p w:rsidR="00AC4BA5" w:rsidRDefault="00AC4BA5" w:rsidP="00AC4BA5">
            <w:pPr>
              <w:rPr>
                <w:rFonts w:ascii="Verdana" w:hAnsi="Verdana"/>
                <w:lang w:val="nl-BE"/>
              </w:rPr>
            </w:pPr>
            <w:r>
              <w:rPr>
                <w:rFonts w:ascii="Verdana" w:hAnsi="Verdana"/>
                <w:lang w:val="nl-BE"/>
              </w:rPr>
              <w:t>Besparing brandstof (kWh)</w:t>
            </w:r>
          </w:p>
        </w:tc>
        <w:tc>
          <w:tcPr>
            <w:tcW w:w="3402" w:type="dxa"/>
          </w:tcPr>
          <w:p w:rsidR="00AC4BA5" w:rsidRDefault="00AC4BA5" w:rsidP="00AC4BA5">
            <w:pPr>
              <w:rPr>
                <w:rFonts w:ascii="Verdana" w:hAnsi="Verdana"/>
                <w:lang w:val="nl-BE"/>
              </w:rPr>
            </w:pPr>
            <w:r>
              <w:rPr>
                <w:rFonts w:ascii="Verdana" w:hAnsi="Verdana"/>
                <w:lang w:val="nl-BE"/>
              </w:rPr>
              <w:t>Besparing brandstof</w:t>
            </w:r>
            <w:r w:rsidR="000129A0">
              <w:rPr>
                <w:rFonts w:ascii="Verdana" w:hAnsi="Verdana"/>
                <w:lang w:val="nl-BE"/>
              </w:rPr>
              <w:br/>
            </w:r>
            <w:r>
              <w:rPr>
                <w:rFonts w:ascii="Verdana" w:hAnsi="Verdana"/>
                <w:lang w:val="nl-BE"/>
              </w:rPr>
              <w:t xml:space="preserve"> (%)</w:t>
            </w:r>
          </w:p>
        </w:tc>
      </w:tr>
      <w:tr w:rsidR="00AC4BA5" w:rsidRPr="000129A0" w:rsidTr="000129A0">
        <w:tc>
          <w:tcPr>
            <w:tcW w:w="1673" w:type="dxa"/>
          </w:tcPr>
          <w:p w:rsidR="00AC4BA5" w:rsidRDefault="00AC4BA5" w:rsidP="00AC4BA5">
            <w:pPr>
              <w:rPr>
                <w:rFonts w:ascii="Verdana" w:hAnsi="Verdana"/>
                <w:lang w:val="nl-BE"/>
              </w:rPr>
            </w:pPr>
            <w:proofErr w:type="spellStart"/>
            <w:r>
              <w:rPr>
                <w:rFonts w:ascii="Verdana" w:hAnsi="Verdana"/>
                <w:lang w:val="nl-BE"/>
              </w:rPr>
              <w:t>KSLeuven</w:t>
            </w:r>
            <w:proofErr w:type="spellEnd"/>
          </w:p>
        </w:tc>
        <w:tc>
          <w:tcPr>
            <w:tcW w:w="2693" w:type="dxa"/>
          </w:tcPr>
          <w:p w:rsidR="00AC4BA5" w:rsidRDefault="00AC4BA5" w:rsidP="00AC4BA5">
            <w:pPr>
              <w:rPr>
                <w:rFonts w:ascii="Verdana" w:hAnsi="Verdana"/>
                <w:lang w:val="nl-BE"/>
              </w:rPr>
            </w:pPr>
            <w:r>
              <w:rPr>
                <w:rFonts w:ascii="Verdana" w:hAnsi="Verdana"/>
                <w:lang w:val="nl-BE"/>
              </w:rPr>
              <w:t>111.141</w:t>
            </w:r>
          </w:p>
        </w:tc>
        <w:tc>
          <w:tcPr>
            <w:tcW w:w="2268" w:type="dxa"/>
            <w:gridSpan w:val="2"/>
          </w:tcPr>
          <w:p w:rsidR="00AC4BA5" w:rsidRDefault="00AC4BA5" w:rsidP="00AC4BA5">
            <w:pPr>
              <w:rPr>
                <w:rFonts w:ascii="Verdana" w:hAnsi="Verdana"/>
                <w:lang w:val="nl-BE"/>
              </w:rPr>
            </w:pPr>
            <w:r>
              <w:rPr>
                <w:rFonts w:ascii="Verdana" w:hAnsi="Verdana"/>
                <w:lang w:val="nl-BE"/>
              </w:rPr>
              <w:t>8%</w:t>
            </w:r>
          </w:p>
        </w:tc>
        <w:tc>
          <w:tcPr>
            <w:tcW w:w="2551" w:type="dxa"/>
            <w:gridSpan w:val="2"/>
          </w:tcPr>
          <w:p w:rsidR="00AC4BA5" w:rsidRDefault="00AC4BA5" w:rsidP="00AC4BA5">
            <w:pPr>
              <w:rPr>
                <w:rFonts w:ascii="Verdana" w:hAnsi="Verdana"/>
                <w:lang w:val="nl-BE"/>
              </w:rPr>
            </w:pPr>
            <w:r>
              <w:rPr>
                <w:rFonts w:ascii="Verdana" w:hAnsi="Verdana"/>
                <w:lang w:val="nl-BE"/>
              </w:rPr>
              <w:t xml:space="preserve">2.043.577 </w:t>
            </w:r>
          </w:p>
        </w:tc>
        <w:tc>
          <w:tcPr>
            <w:tcW w:w="3402" w:type="dxa"/>
          </w:tcPr>
          <w:p w:rsidR="00AC4BA5" w:rsidRDefault="00AC4BA5" w:rsidP="00AC4BA5">
            <w:pPr>
              <w:rPr>
                <w:rFonts w:ascii="Verdana" w:hAnsi="Verdana"/>
                <w:lang w:val="nl-BE"/>
              </w:rPr>
            </w:pPr>
            <w:r>
              <w:rPr>
                <w:rFonts w:ascii="Verdana" w:hAnsi="Verdana"/>
                <w:lang w:val="nl-BE"/>
              </w:rPr>
              <w:t>35%</w:t>
            </w:r>
          </w:p>
        </w:tc>
      </w:tr>
      <w:tr w:rsidR="00AC4BA5" w:rsidRPr="00AC4BA5" w:rsidTr="000129A0">
        <w:tc>
          <w:tcPr>
            <w:tcW w:w="1673" w:type="dxa"/>
          </w:tcPr>
          <w:p w:rsidR="00AC4BA5" w:rsidRDefault="00AC4BA5" w:rsidP="00AC4BA5">
            <w:pPr>
              <w:rPr>
                <w:rFonts w:ascii="Verdana" w:hAnsi="Verdana"/>
                <w:lang w:val="nl-BE"/>
              </w:rPr>
            </w:pPr>
          </w:p>
        </w:tc>
        <w:tc>
          <w:tcPr>
            <w:tcW w:w="3685" w:type="dxa"/>
            <w:gridSpan w:val="2"/>
          </w:tcPr>
          <w:p w:rsidR="00AC4BA5" w:rsidRDefault="00AC4BA5" w:rsidP="00AC4BA5">
            <w:pPr>
              <w:rPr>
                <w:rFonts w:ascii="Verdana" w:hAnsi="Verdana"/>
                <w:lang w:val="nl-BE"/>
              </w:rPr>
            </w:pPr>
            <w:r>
              <w:rPr>
                <w:rFonts w:ascii="Verdana" w:hAnsi="Verdana"/>
                <w:lang w:val="nl-BE"/>
              </w:rPr>
              <w:t>Investering</w:t>
            </w:r>
          </w:p>
          <w:p w:rsidR="00AC4BA5" w:rsidRDefault="00AC4BA5" w:rsidP="00AC4BA5">
            <w:pPr>
              <w:rPr>
                <w:rFonts w:ascii="Verdana" w:hAnsi="Verdana"/>
                <w:lang w:val="nl-BE"/>
              </w:rPr>
            </w:pPr>
            <w:r>
              <w:rPr>
                <w:rFonts w:ascii="Verdana" w:hAnsi="Verdana"/>
                <w:lang w:val="nl-BE"/>
              </w:rPr>
              <w:t>(EUR)</w:t>
            </w:r>
          </w:p>
        </w:tc>
        <w:tc>
          <w:tcPr>
            <w:tcW w:w="3827" w:type="dxa"/>
            <w:gridSpan w:val="3"/>
          </w:tcPr>
          <w:p w:rsidR="00AC4BA5" w:rsidRDefault="00AC4BA5" w:rsidP="00AC4BA5">
            <w:pPr>
              <w:rPr>
                <w:rFonts w:ascii="Verdana" w:hAnsi="Verdana"/>
                <w:lang w:val="nl-BE"/>
              </w:rPr>
            </w:pPr>
            <w:r>
              <w:rPr>
                <w:rFonts w:ascii="Verdana" w:hAnsi="Verdana"/>
                <w:lang w:val="nl-BE"/>
              </w:rPr>
              <w:t xml:space="preserve">Jaarlijkse besparing </w:t>
            </w:r>
            <w:r>
              <w:rPr>
                <w:rFonts w:ascii="Verdana" w:hAnsi="Verdana"/>
                <w:lang w:val="nl-BE"/>
              </w:rPr>
              <w:br/>
              <w:t>(EUR)</w:t>
            </w:r>
          </w:p>
        </w:tc>
        <w:tc>
          <w:tcPr>
            <w:tcW w:w="3402" w:type="dxa"/>
          </w:tcPr>
          <w:p w:rsidR="00AC4BA5" w:rsidRDefault="00AC4BA5" w:rsidP="00AC4BA5">
            <w:pPr>
              <w:rPr>
                <w:rFonts w:ascii="Verdana" w:hAnsi="Verdana"/>
                <w:lang w:val="nl-BE"/>
              </w:rPr>
            </w:pPr>
            <w:r>
              <w:rPr>
                <w:rFonts w:ascii="Verdana" w:hAnsi="Verdana"/>
                <w:lang w:val="nl-BE"/>
              </w:rPr>
              <w:t xml:space="preserve">TVT </w:t>
            </w:r>
          </w:p>
          <w:p w:rsidR="00AC4BA5" w:rsidRDefault="00AC4BA5" w:rsidP="00AC4BA5">
            <w:pPr>
              <w:rPr>
                <w:rFonts w:ascii="Verdana" w:hAnsi="Verdana"/>
                <w:lang w:val="nl-BE"/>
              </w:rPr>
            </w:pPr>
            <w:r>
              <w:rPr>
                <w:rFonts w:ascii="Verdana" w:hAnsi="Verdana"/>
                <w:lang w:val="nl-BE"/>
              </w:rPr>
              <w:t>(jaar)</w:t>
            </w:r>
          </w:p>
        </w:tc>
      </w:tr>
      <w:tr w:rsidR="00AC4BA5" w:rsidRPr="00AC4BA5" w:rsidTr="000129A0">
        <w:tc>
          <w:tcPr>
            <w:tcW w:w="1673" w:type="dxa"/>
          </w:tcPr>
          <w:p w:rsidR="00AC4BA5" w:rsidRDefault="00AC4BA5" w:rsidP="00AC4BA5">
            <w:pPr>
              <w:rPr>
                <w:rFonts w:ascii="Verdana" w:hAnsi="Verdana"/>
                <w:lang w:val="nl-BE"/>
              </w:rPr>
            </w:pPr>
            <w:proofErr w:type="spellStart"/>
            <w:r>
              <w:rPr>
                <w:rFonts w:ascii="Verdana" w:hAnsi="Verdana"/>
                <w:lang w:val="nl-BE"/>
              </w:rPr>
              <w:t>KSLeuven</w:t>
            </w:r>
            <w:proofErr w:type="spellEnd"/>
          </w:p>
        </w:tc>
        <w:tc>
          <w:tcPr>
            <w:tcW w:w="3685" w:type="dxa"/>
            <w:gridSpan w:val="2"/>
          </w:tcPr>
          <w:p w:rsidR="00AC4BA5" w:rsidRDefault="00AC4BA5" w:rsidP="00AC4BA5">
            <w:pPr>
              <w:rPr>
                <w:rFonts w:ascii="Verdana" w:hAnsi="Verdana"/>
                <w:lang w:val="nl-BE"/>
              </w:rPr>
            </w:pPr>
            <w:r>
              <w:rPr>
                <w:rFonts w:ascii="Verdana" w:hAnsi="Verdana"/>
                <w:lang w:val="nl-BE"/>
              </w:rPr>
              <w:t xml:space="preserve">4.522.715 </w:t>
            </w:r>
          </w:p>
        </w:tc>
        <w:tc>
          <w:tcPr>
            <w:tcW w:w="3827" w:type="dxa"/>
            <w:gridSpan w:val="3"/>
          </w:tcPr>
          <w:p w:rsidR="00AC4BA5" w:rsidRDefault="00AC4BA5" w:rsidP="00AC4BA5">
            <w:pPr>
              <w:rPr>
                <w:rFonts w:ascii="Verdana" w:hAnsi="Verdana"/>
                <w:lang w:val="nl-BE"/>
              </w:rPr>
            </w:pPr>
            <w:r>
              <w:rPr>
                <w:rFonts w:ascii="Verdana" w:hAnsi="Verdana"/>
                <w:lang w:val="nl-BE"/>
              </w:rPr>
              <w:t>116.276</w:t>
            </w:r>
          </w:p>
        </w:tc>
        <w:tc>
          <w:tcPr>
            <w:tcW w:w="3402" w:type="dxa"/>
          </w:tcPr>
          <w:p w:rsidR="00AC4BA5" w:rsidRDefault="00AC4BA5" w:rsidP="00AC4BA5">
            <w:pPr>
              <w:rPr>
                <w:rFonts w:ascii="Verdana" w:hAnsi="Verdana"/>
                <w:lang w:val="nl-BE"/>
              </w:rPr>
            </w:pPr>
            <w:r>
              <w:rPr>
                <w:rFonts w:ascii="Verdana" w:hAnsi="Verdana"/>
                <w:lang w:val="nl-BE"/>
              </w:rPr>
              <w:t>&gt;20</w:t>
            </w:r>
          </w:p>
        </w:tc>
      </w:tr>
      <w:tr w:rsidR="00AC4BA5" w:rsidRPr="00AC4BA5" w:rsidTr="000129A0">
        <w:tc>
          <w:tcPr>
            <w:tcW w:w="1668" w:type="dxa"/>
          </w:tcPr>
          <w:p w:rsidR="00AC4BA5" w:rsidRDefault="00AC4BA5" w:rsidP="00AC4BA5">
            <w:pPr>
              <w:rPr>
                <w:rFonts w:ascii="Verdana" w:hAnsi="Verdana"/>
                <w:lang w:val="nl-BE"/>
              </w:rPr>
            </w:pPr>
          </w:p>
        </w:tc>
        <w:tc>
          <w:tcPr>
            <w:tcW w:w="5386" w:type="dxa"/>
            <w:gridSpan w:val="4"/>
          </w:tcPr>
          <w:p w:rsidR="00AC4BA5" w:rsidRDefault="00AC4BA5" w:rsidP="00AC4BA5">
            <w:pPr>
              <w:rPr>
                <w:rFonts w:ascii="Verdana" w:hAnsi="Verdana"/>
                <w:lang w:val="nl-BE"/>
              </w:rPr>
            </w:pPr>
            <w:r>
              <w:rPr>
                <w:rFonts w:ascii="Verdana" w:hAnsi="Verdana"/>
                <w:lang w:val="nl-BE"/>
              </w:rPr>
              <w:t xml:space="preserve">Besparing primair </w:t>
            </w:r>
            <w:r w:rsidR="000129A0">
              <w:rPr>
                <w:rFonts w:ascii="Verdana" w:hAnsi="Verdana"/>
                <w:lang w:val="nl-BE"/>
              </w:rPr>
              <w:br/>
            </w:r>
            <w:r>
              <w:rPr>
                <w:rFonts w:ascii="Verdana" w:hAnsi="Verdana"/>
                <w:lang w:val="nl-BE"/>
              </w:rPr>
              <w:t>(kWh)</w:t>
            </w:r>
          </w:p>
        </w:tc>
        <w:tc>
          <w:tcPr>
            <w:tcW w:w="5528" w:type="dxa"/>
            <w:gridSpan w:val="2"/>
          </w:tcPr>
          <w:p w:rsidR="00AC4BA5" w:rsidRDefault="00AC4BA5" w:rsidP="00AC4BA5">
            <w:pPr>
              <w:rPr>
                <w:rFonts w:ascii="Verdana" w:hAnsi="Verdana"/>
                <w:lang w:val="nl-BE"/>
              </w:rPr>
            </w:pPr>
            <w:r>
              <w:rPr>
                <w:rFonts w:ascii="Verdana" w:hAnsi="Verdana"/>
                <w:lang w:val="nl-BE"/>
              </w:rPr>
              <w:t>Besparing CO</w:t>
            </w:r>
            <w:r w:rsidRPr="00AC4BA5">
              <w:rPr>
                <w:rFonts w:ascii="Verdana" w:hAnsi="Verdana"/>
                <w:vertAlign w:val="subscript"/>
                <w:lang w:val="nl-BE"/>
              </w:rPr>
              <w:t>²</w:t>
            </w:r>
            <w:r>
              <w:rPr>
                <w:rFonts w:ascii="Verdana" w:hAnsi="Verdana"/>
                <w:lang w:val="nl-BE"/>
              </w:rPr>
              <w:t xml:space="preserve">-uitstoot </w:t>
            </w:r>
            <w:r w:rsidR="000129A0">
              <w:rPr>
                <w:rFonts w:ascii="Verdana" w:hAnsi="Verdana"/>
                <w:lang w:val="nl-BE"/>
              </w:rPr>
              <w:br/>
            </w:r>
            <w:r>
              <w:rPr>
                <w:rFonts w:ascii="Verdana" w:hAnsi="Verdana"/>
                <w:lang w:val="nl-BE"/>
              </w:rPr>
              <w:t>(ton)</w:t>
            </w:r>
          </w:p>
        </w:tc>
      </w:tr>
      <w:tr w:rsidR="00AC4BA5" w:rsidRPr="00AC4BA5" w:rsidTr="000129A0">
        <w:tc>
          <w:tcPr>
            <w:tcW w:w="1668" w:type="dxa"/>
          </w:tcPr>
          <w:p w:rsidR="00AC4BA5" w:rsidRDefault="00AC4BA5" w:rsidP="00AC4BA5">
            <w:pPr>
              <w:rPr>
                <w:rFonts w:ascii="Verdana" w:hAnsi="Verdana"/>
                <w:lang w:val="nl-BE"/>
              </w:rPr>
            </w:pPr>
            <w:proofErr w:type="spellStart"/>
            <w:r>
              <w:rPr>
                <w:rFonts w:ascii="Verdana" w:hAnsi="Verdana"/>
                <w:lang w:val="nl-BE"/>
              </w:rPr>
              <w:t>KSLeuven</w:t>
            </w:r>
            <w:proofErr w:type="spellEnd"/>
          </w:p>
        </w:tc>
        <w:tc>
          <w:tcPr>
            <w:tcW w:w="5386" w:type="dxa"/>
            <w:gridSpan w:val="4"/>
          </w:tcPr>
          <w:p w:rsidR="00AC4BA5" w:rsidRDefault="00AC4BA5" w:rsidP="00AC4BA5">
            <w:pPr>
              <w:rPr>
                <w:rFonts w:ascii="Verdana" w:hAnsi="Verdana"/>
                <w:lang w:val="nl-BE"/>
              </w:rPr>
            </w:pPr>
            <w:r>
              <w:rPr>
                <w:rFonts w:ascii="Verdana" w:hAnsi="Verdana"/>
                <w:lang w:val="nl-BE"/>
              </w:rPr>
              <w:t>2.321.430</w:t>
            </w:r>
          </w:p>
        </w:tc>
        <w:tc>
          <w:tcPr>
            <w:tcW w:w="5528" w:type="dxa"/>
            <w:gridSpan w:val="2"/>
          </w:tcPr>
          <w:p w:rsidR="00AC4BA5" w:rsidRDefault="00AC4BA5" w:rsidP="00AC4BA5">
            <w:pPr>
              <w:rPr>
                <w:rFonts w:ascii="Verdana" w:hAnsi="Verdana"/>
                <w:lang w:val="nl-BE"/>
              </w:rPr>
            </w:pPr>
            <w:r>
              <w:rPr>
                <w:rFonts w:ascii="Verdana" w:hAnsi="Verdana"/>
                <w:lang w:val="nl-BE"/>
              </w:rPr>
              <w:t>452</w:t>
            </w:r>
          </w:p>
        </w:tc>
      </w:tr>
    </w:tbl>
    <w:p w:rsidR="00222498" w:rsidRPr="00222486" w:rsidRDefault="00222498" w:rsidP="00222498">
      <w:pPr>
        <w:rPr>
          <w:rFonts w:ascii="Verdana" w:hAnsi="Verdana"/>
          <w:lang w:val="nl-BE"/>
        </w:rPr>
      </w:pPr>
    </w:p>
    <w:p w:rsidR="00222498" w:rsidRPr="00222486" w:rsidRDefault="00222498" w:rsidP="00222498">
      <w:pPr>
        <w:rPr>
          <w:rFonts w:ascii="Verdana" w:hAnsi="Verdana"/>
          <w:lang w:val="nl-BE"/>
        </w:rPr>
      </w:pPr>
    </w:p>
    <w:sectPr w:rsidR="00222498" w:rsidRPr="00222486" w:rsidSect="00100709">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2F5A"/>
    <w:multiLevelType w:val="hybridMultilevel"/>
    <w:tmpl w:val="0428F6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432817"/>
    <w:multiLevelType w:val="hybridMultilevel"/>
    <w:tmpl w:val="03C4E8C2"/>
    <w:lvl w:ilvl="0" w:tplc="F552DD50">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3E"/>
    <w:rsid w:val="000129A0"/>
    <w:rsid w:val="00014004"/>
    <w:rsid w:val="00100709"/>
    <w:rsid w:val="00222498"/>
    <w:rsid w:val="005C553E"/>
    <w:rsid w:val="008655DC"/>
    <w:rsid w:val="00AC4BA5"/>
    <w:rsid w:val="00C366DC"/>
    <w:rsid w:val="00CF7395"/>
    <w:rsid w:val="00DB0BE6"/>
    <w:rsid w:val="00E22ADA"/>
    <w:rsid w:val="00F1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24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2498"/>
    <w:pPr>
      <w:ind w:left="720"/>
      <w:contextualSpacing/>
    </w:pPr>
  </w:style>
  <w:style w:type="paragraph" w:styleId="Ballontekst">
    <w:name w:val="Balloon Text"/>
    <w:basedOn w:val="Standaard"/>
    <w:link w:val="BallontekstChar"/>
    <w:uiPriority w:val="99"/>
    <w:semiHidden/>
    <w:unhideWhenUsed/>
    <w:rsid w:val="00E22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ADA"/>
    <w:rPr>
      <w:rFonts w:ascii="Tahoma" w:hAnsi="Tahoma" w:cs="Tahoma"/>
      <w:sz w:val="16"/>
      <w:szCs w:val="16"/>
    </w:rPr>
  </w:style>
  <w:style w:type="character" w:styleId="Verwijzingopmerking">
    <w:name w:val="annotation reference"/>
    <w:basedOn w:val="Standaardalinea-lettertype"/>
    <w:uiPriority w:val="99"/>
    <w:semiHidden/>
    <w:unhideWhenUsed/>
    <w:rsid w:val="00AC4BA5"/>
    <w:rPr>
      <w:sz w:val="16"/>
      <w:szCs w:val="16"/>
    </w:rPr>
  </w:style>
  <w:style w:type="paragraph" w:styleId="Tekstopmerking">
    <w:name w:val="annotation text"/>
    <w:basedOn w:val="Standaard"/>
    <w:link w:val="TekstopmerkingChar"/>
    <w:uiPriority w:val="99"/>
    <w:semiHidden/>
    <w:unhideWhenUsed/>
    <w:rsid w:val="00AC4B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BA5"/>
    <w:rPr>
      <w:sz w:val="20"/>
      <w:szCs w:val="20"/>
    </w:rPr>
  </w:style>
  <w:style w:type="table" w:styleId="Tabelraster">
    <w:name w:val="Table Grid"/>
    <w:basedOn w:val="Standaardtabel"/>
    <w:uiPriority w:val="39"/>
    <w:rsid w:val="00AC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24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2498"/>
    <w:pPr>
      <w:ind w:left="720"/>
      <w:contextualSpacing/>
    </w:pPr>
  </w:style>
  <w:style w:type="paragraph" w:styleId="Ballontekst">
    <w:name w:val="Balloon Text"/>
    <w:basedOn w:val="Standaard"/>
    <w:link w:val="BallontekstChar"/>
    <w:uiPriority w:val="99"/>
    <w:semiHidden/>
    <w:unhideWhenUsed/>
    <w:rsid w:val="00E22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ADA"/>
    <w:rPr>
      <w:rFonts w:ascii="Tahoma" w:hAnsi="Tahoma" w:cs="Tahoma"/>
      <w:sz w:val="16"/>
      <w:szCs w:val="16"/>
    </w:rPr>
  </w:style>
  <w:style w:type="character" w:styleId="Verwijzingopmerking">
    <w:name w:val="annotation reference"/>
    <w:basedOn w:val="Standaardalinea-lettertype"/>
    <w:uiPriority w:val="99"/>
    <w:semiHidden/>
    <w:unhideWhenUsed/>
    <w:rsid w:val="00AC4BA5"/>
    <w:rPr>
      <w:sz w:val="16"/>
      <w:szCs w:val="16"/>
    </w:rPr>
  </w:style>
  <w:style w:type="paragraph" w:styleId="Tekstopmerking">
    <w:name w:val="annotation text"/>
    <w:basedOn w:val="Standaard"/>
    <w:link w:val="TekstopmerkingChar"/>
    <w:uiPriority w:val="99"/>
    <w:semiHidden/>
    <w:unhideWhenUsed/>
    <w:rsid w:val="00AC4B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BA5"/>
    <w:rPr>
      <w:sz w:val="20"/>
      <w:szCs w:val="20"/>
    </w:rPr>
  </w:style>
  <w:style w:type="table" w:styleId="Tabelraster">
    <w:name w:val="Table Grid"/>
    <w:basedOn w:val="Standaardtabel"/>
    <w:uiPriority w:val="39"/>
    <w:rsid w:val="00AC4B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C9243075.dotm</Template>
  <TotalTime>19</TotalTime>
  <Pages>4</Pages>
  <Words>613</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Philippe Moreau</cp:lastModifiedBy>
  <cp:revision>5</cp:revision>
  <dcterms:created xsi:type="dcterms:W3CDTF">2018-03-14T15:34:00Z</dcterms:created>
  <dcterms:modified xsi:type="dcterms:W3CDTF">2018-03-14T16:26:00Z</dcterms:modified>
</cp:coreProperties>
</file>